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B3" w:rsidRDefault="00696DB3" w:rsidP="00696DB3">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696DB3" w:rsidRDefault="00696DB3" w:rsidP="00696DB3">
      <w:pPr>
        <w:spacing w:after="0" w:line="240" w:lineRule="auto"/>
        <w:jc w:val="center"/>
        <w:rPr>
          <w:rFonts w:ascii="Times New Roman" w:hAnsi="Times New Roman"/>
          <w:b/>
          <w:sz w:val="28"/>
          <w:szCs w:val="28"/>
        </w:rPr>
      </w:pPr>
      <w:r>
        <w:rPr>
          <w:rFonts w:ascii="Times New Roman" w:hAnsi="Times New Roman"/>
          <w:b/>
          <w:sz w:val="28"/>
          <w:szCs w:val="28"/>
        </w:rPr>
        <w:t xml:space="preserve">ОБ ОБЛАСТНОМ КОНКУРСЕ НА ЗВАНИЕ </w:t>
      </w:r>
    </w:p>
    <w:p w:rsidR="00696DB3" w:rsidRDefault="00696DB3" w:rsidP="00696DB3">
      <w:pPr>
        <w:spacing w:after="0" w:line="240" w:lineRule="auto"/>
        <w:jc w:val="center"/>
        <w:rPr>
          <w:rFonts w:ascii="Times New Roman" w:hAnsi="Times New Roman"/>
          <w:b/>
          <w:sz w:val="28"/>
          <w:szCs w:val="28"/>
        </w:rPr>
      </w:pPr>
      <w:r>
        <w:rPr>
          <w:rFonts w:ascii="Times New Roman" w:hAnsi="Times New Roman"/>
          <w:b/>
          <w:sz w:val="28"/>
          <w:szCs w:val="28"/>
        </w:rPr>
        <w:t>«ЛУЧШИЙ МУНИЦИПАЛЬНЫЙ СЛУЖАЩИЙ</w:t>
      </w:r>
    </w:p>
    <w:p w:rsidR="00696DB3" w:rsidRDefault="00696DB3" w:rsidP="00696DB3">
      <w:pPr>
        <w:spacing w:after="0" w:line="240" w:lineRule="auto"/>
        <w:jc w:val="center"/>
        <w:rPr>
          <w:rFonts w:ascii="Times New Roman" w:hAnsi="Times New Roman"/>
          <w:b/>
          <w:sz w:val="28"/>
          <w:szCs w:val="28"/>
        </w:rPr>
      </w:pPr>
      <w:r>
        <w:rPr>
          <w:rFonts w:ascii="Times New Roman" w:hAnsi="Times New Roman"/>
          <w:b/>
          <w:sz w:val="28"/>
          <w:szCs w:val="28"/>
        </w:rPr>
        <w:t>ОРЕНБУРГСКОЙ ОБЛАСТИ»</w:t>
      </w:r>
    </w:p>
    <w:p w:rsidR="00696DB3" w:rsidRDefault="00696DB3" w:rsidP="00696DB3">
      <w:pPr>
        <w:spacing w:after="0" w:line="240" w:lineRule="auto"/>
        <w:jc w:val="center"/>
        <w:rPr>
          <w:rFonts w:ascii="Times New Roman" w:hAnsi="Times New Roman"/>
          <w:b/>
          <w:sz w:val="28"/>
          <w:szCs w:val="28"/>
        </w:rPr>
      </w:pPr>
    </w:p>
    <w:p w:rsidR="00696DB3" w:rsidRDefault="00696DB3" w:rsidP="00696DB3">
      <w:pPr>
        <w:autoSpaceDE w:val="0"/>
        <w:autoSpaceDN w:val="0"/>
        <w:adjustRightInd w:val="0"/>
        <w:spacing w:after="0" w:line="264" w:lineRule="auto"/>
        <w:ind w:firstLine="540"/>
        <w:jc w:val="both"/>
        <w:rPr>
          <w:rFonts w:ascii="Times New Roman" w:hAnsi="Times New Roman"/>
          <w:b/>
          <w:sz w:val="28"/>
          <w:szCs w:val="28"/>
        </w:rPr>
      </w:pPr>
      <w:r>
        <w:rPr>
          <w:rFonts w:ascii="Times New Roman" w:hAnsi="Times New Roman"/>
          <w:b/>
          <w:sz w:val="28"/>
          <w:szCs w:val="28"/>
        </w:rPr>
        <w:t>1. Общие положения</w:t>
      </w:r>
    </w:p>
    <w:p w:rsidR="00696DB3" w:rsidRDefault="00696DB3" w:rsidP="00696DB3">
      <w:pPr>
        <w:autoSpaceDE w:val="0"/>
        <w:autoSpaceDN w:val="0"/>
        <w:adjustRightInd w:val="0"/>
        <w:spacing w:after="0" w:line="264" w:lineRule="auto"/>
        <w:ind w:firstLine="540"/>
        <w:jc w:val="both"/>
        <w:rPr>
          <w:rFonts w:ascii="Times New Roman" w:hAnsi="Times New Roman"/>
          <w:b/>
          <w:sz w:val="28"/>
          <w:szCs w:val="28"/>
        </w:rPr>
      </w:pPr>
    </w:p>
    <w:p w:rsidR="00696DB3" w:rsidRDefault="00696DB3" w:rsidP="00696DB3">
      <w:pPr>
        <w:autoSpaceDE w:val="0"/>
        <w:autoSpaceDN w:val="0"/>
        <w:adjustRightInd w:val="0"/>
        <w:spacing w:after="0" w:line="264" w:lineRule="auto"/>
        <w:ind w:firstLine="540"/>
        <w:jc w:val="both"/>
        <w:rPr>
          <w:rFonts w:ascii="Times New Roman" w:hAnsi="Times New Roman"/>
          <w:sz w:val="28"/>
          <w:szCs w:val="28"/>
        </w:rPr>
      </w:pPr>
      <w:r>
        <w:rPr>
          <w:rFonts w:ascii="Times New Roman" w:hAnsi="Times New Roman"/>
          <w:sz w:val="28"/>
          <w:szCs w:val="28"/>
        </w:rPr>
        <w:t>1.1. Конкурс «Лучший муниципальный служащий Оренбургской области» (далее – конкурс) проводится Советом (ассоциацией) муниципальных образований Оренбургской области не реже одного раза в два с половиной года согласно Положению, утвержденному Президиумом Совета (ассоциации).</w:t>
      </w:r>
    </w:p>
    <w:p w:rsidR="00696DB3" w:rsidRDefault="00696DB3" w:rsidP="00696DB3">
      <w:pPr>
        <w:autoSpaceDE w:val="0"/>
        <w:autoSpaceDN w:val="0"/>
        <w:adjustRightInd w:val="0"/>
        <w:spacing w:after="0" w:line="264" w:lineRule="auto"/>
        <w:ind w:firstLine="540"/>
        <w:jc w:val="both"/>
        <w:rPr>
          <w:rFonts w:ascii="Times New Roman" w:hAnsi="Times New Roman"/>
          <w:sz w:val="28"/>
          <w:szCs w:val="28"/>
        </w:rPr>
      </w:pPr>
      <w:r>
        <w:rPr>
          <w:rFonts w:ascii="Times New Roman" w:hAnsi="Times New Roman"/>
          <w:sz w:val="28"/>
          <w:szCs w:val="28"/>
        </w:rPr>
        <w:t>1.2. Основной целью проведения конкурса является повышение престижа и значимости статуса муниципальных служащих, депутатов представительных органов, лиц, замещающих выборные муниципальные должности и представителей общественных (некоммерческих) организаций Оренбургской области.</w:t>
      </w:r>
    </w:p>
    <w:p w:rsidR="00696DB3" w:rsidRDefault="00696DB3" w:rsidP="00696DB3">
      <w:pPr>
        <w:autoSpaceDE w:val="0"/>
        <w:autoSpaceDN w:val="0"/>
        <w:adjustRightInd w:val="0"/>
        <w:spacing w:after="0" w:line="264" w:lineRule="auto"/>
        <w:ind w:firstLine="540"/>
        <w:jc w:val="both"/>
        <w:rPr>
          <w:rFonts w:ascii="Times New Roman" w:hAnsi="Times New Roman"/>
          <w:sz w:val="28"/>
          <w:szCs w:val="28"/>
        </w:rPr>
      </w:pPr>
      <w:r>
        <w:rPr>
          <w:rFonts w:ascii="Times New Roman" w:hAnsi="Times New Roman"/>
          <w:sz w:val="28"/>
          <w:szCs w:val="28"/>
        </w:rPr>
        <w:t>1.3. Основной задачей проведения конкурса является выявление наиболее талантливых муниципальных служащих и депутатов представительных органов, лиц, замещающих выборные муниципальные должности, представителей общественных (некоммерческих) организаций (далее - кандидатов), внёсших существенный вклад в становление и развитие местного самоуправления в Оренбургской области.</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xml:space="preserve">1.4. Порядок предоставления кандидатур на конкурс определяется настоящим Положением. </w:t>
      </w:r>
    </w:p>
    <w:p w:rsidR="00696DB3" w:rsidRDefault="00696DB3" w:rsidP="00696DB3">
      <w:pPr>
        <w:spacing w:after="0" w:line="264" w:lineRule="auto"/>
        <w:ind w:firstLine="540"/>
        <w:jc w:val="both"/>
        <w:rPr>
          <w:rFonts w:ascii="Times New Roman" w:hAnsi="Times New Roman"/>
          <w:sz w:val="28"/>
          <w:szCs w:val="28"/>
        </w:rPr>
      </w:pPr>
    </w:p>
    <w:p w:rsidR="00696DB3" w:rsidRDefault="00696DB3" w:rsidP="00696DB3">
      <w:pPr>
        <w:spacing w:after="0" w:line="264" w:lineRule="auto"/>
        <w:ind w:firstLine="540"/>
        <w:jc w:val="both"/>
        <w:rPr>
          <w:rFonts w:ascii="Times New Roman" w:hAnsi="Times New Roman"/>
          <w:b/>
          <w:sz w:val="28"/>
          <w:szCs w:val="28"/>
        </w:rPr>
      </w:pPr>
      <w:r>
        <w:rPr>
          <w:rFonts w:ascii="Times New Roman" w:hAnsi="Times New Roman"/>
          <w:b/>
          <w:sz w:val="28"/>
          <w:szCs w:val="28"/>
        </w:rPr>
        <w:t>2. Номинации конкурса</w:t>
      </w:r>
    </w:p>
    <w:p w:rsidR="00696DB3" w:rsidRDefault="00696DB3" w:rsidP="00696DB3">
      <w:pPr>
        <w:spacing w:after="0" w:line="264" w:lineRule="auto"/>
        <w:ind w:firstLine="540"/>
        <w:jc w:val="both"/>
        <w:rPr>
          <w:rFonts w:ascii="Times New Roman" w:hAnsi="Times New Roman"/>
          <w:b/>
          <w:sz w:val="28"/>
          <w:szCs w:val="28"/>
        </w:rPr>
      </w:pP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xml:space="preserve">2.1. Конкурс проводится по </w:t>
      </w:r>
      <w:r>
        <w:rPr>
          <w:rFonts w:ascii="Times New Roman" w:hAnsi="Times New Roman"/>
          <w:b/>
          <w:sz w:val="28"/>
          <w:szCs w:val="28"/>
        </w:rPr>
        <w:t>25 номинациям:</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2.1.1. Лучший глава муниципального образования городского округа, муниципального района;</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2.1.2. Лучший глава муниципального образования сельского поселения;</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 xml:space="preserve">2.1.3. Лучший глава администрации </w:t>
      </w:r>
      <w:r>
        <w:rPr>
          <w:rFonts w:ascii="Times New Roman" w:hAnsi="Times New Roman"/>
          <w:color w:val="000000"/>
          <w:sz w:val="28"/>
          <w:szCs w:val="28"/>
          <w:shd w:val="clear" w:color="auto" w:fill="FFFFFF"/>
        </w:rPr>
        <w:t>сельского населенного пункта</w:t>
      </w:r>
      <w:r>
        <w:rPr>
          <w:rFonts w:ascii="Tahoma" w:hAnsi="Tahoma" w:cs="Tahoma"/>
          <w:color w:val="000000"/>
          <w:sz w:val="21"/>
          <w:szCs w:val="21"/>
          <w:shd w:val="clear" w:color="auto" w:fill="FFFFFF"/>
        </w:rPr>
        <w:t> </w:t>
      </w:r>
      <w:r>
        <w:rPr>
          <w:rFonts w:ascii="Times New Roman" w:hAnsi="Times New Roman"/>
          <w:color w:val="000000"/>
          <w:sz w:val="28"/>
          <w:szCs w:val="28"/>
          <w:shd w:val="clear" w:color="auto" w:fill="FFFFFF"/>
        </w:rPr>
        <w:t>(начальник территориального отдела);</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2.1.4. Лучший председатель Совета депутатов городского округа, муниципального района;</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2.1.5. Лучший депутат представительного органа муниципального образования городского округа, муниципального района;</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2.1.6. Лучший депутат представительного органа муниципального образования сельского поселения;</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lastRenderedPageBreak/>
        <w:t>2.1.7. Лучший представитель контрольно-счетного органа местного самоуправления;</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2.1.8. Лучший представитель избирательной комиссии муниципального образования городского округа, муниципального района;</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2.1.9. Лучший представитель избирательной комиссии муниципального образования сельского поселения;</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2.1.10. Лучший представитель общественной (некоммерческой) организации;</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2.1.11. Лучший муниципальный служащий по вопросам архитектуры и градостроительства;</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2.1.12. Лучший муниципальный служащий по вопросам жилищно-коммунального хозяйства, благоустройства и управления имуществом;</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2.1.13. Лучший муниципальный служащий по вопросам культуры;</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2.1.14. Лучший муниципальный служащий по вопросам сельского хозяйства;</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2.1.15. Лучший муниципальный служащий по вопросам торговли, общественного питания и бытового обслуживания;</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2.1.16. Лучший муниципальный служащий по вопросам физкультуры и спорта;</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2.1.17. Лучший муниципальный служащий по молодежной политике;</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2.1.18. Лучший муниципальный служащий по общим вопросам;</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2.1.19. Лучший муниципальный служащий по организационным вопросам;</w:t>
      </w:r>
    </w:p>
    <w:p w:rsidR="00696DB3" w:rsidRDefault="00696DB3" w:rsidP="00696DB3">
      <w:pPr>
        <w:tabs>
          <w:tab w:val="num" w:pos="900"/>
        </w:tabs>
        <w:spacing w:after="0" w:line="264" w:lineRule="auto"/>
        <w:jc w:val="both"/>
        <w:outlineLvl w:val="0"/>
        <w:rPr>
          <w:rFonts w:ascii="Times New Roman" w:hAnsi="Times New Roman"/>
          <w:sz w:val="28"/>
          <w:szCs w:val="28"/>
        </w:rPr>
      </w:pPr>
      <w:r>
        <w:rPr>
          <w:rFonts w:ascii="Times New Roman" w:hAnsi="Times New Roman"/>
          <w:sz w:val="28"/>
          <w:szCs w:val="28"/>
        </w:rPr>
        <w:t>2.1.20. Лучший муниципальный служащий по социальным вопросам;</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2.1.21. Лучший муниципальный служащий по финансовым вопросам;</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2.1.22. Лучший муниципальный служащий по экономическим вопросам;</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2.1.23. Лучший муниципальный служащий по юридическим вопросам;</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2.1.24. Лучший муниципальный служащий сельского поселения.</w:t>
      </w:r>
    </w:p>
    <w:p w:rsidR="00696DB3" w:rsidRDefault="00696DB3" w:rsidP="00696DB3">
      <w:pPr>
        <w:spacing w:after="0" w:line="264" w:lineRule="auto"/>
        <w:jc w:val="both"/>
        <w:rPr>
          <w:rFonts w:ascii="Times New Roman" w:hAnsi="Times New Roman"/>
          <w:sz w:val="28"/>
          <w:szCs w:val="28"/>
        </w:rPr>
      </w:pPr>
      <w:r>
        <w:rPr>
          <w:rFonts w:ascii="Times New Roman" w:hAnsi="Times New Roman"/>
          <w:sz w:val="28"/>
          <w:szCs w:val="28"/>
        </w:rPr>
        <w:t>2.1.25. Лучший староста сельского населенного пункта.</w:t>
      </w:r>
    </w:p>
    <w:p w:rsidR="00696DB3" w:rsidRDefault="00696DB3" w:rsidP="00696DB3">
      <w:pPr>
        <w:spacing w:after="0" w:line="264" w:lineRule="auto"/>
        <w:ind w:firstLine="540"/>
        <w:jc w:val="both"/>
        <w:rPr>
          <w:rFonts w:ascii="Times New Roman" w:hAnsi="Times New Roman"/>
          <w:sz w:val="28"/>
          <w:szCs w:val="28"/>
        </w:rPr>
      </w:pPr>
    </w:p>
    <w:p w:rsidR="00696DB3" w:rsidRDefault="00696DB3" w:rsidP="00696DB3">
      <w:pPr>
        <w:widowControl w:val="0"/>
        <w:autoSpaceDE w:val="0"/>
        <w:autoSpaceDN w:val="0"/>
        <w:adjustRightInd w:val="0"/>
        <w:spacing w:after="0" w:line="264" w:lineRule="auto"/>
        <w:ind w:firstLine="709"/>
        <w:jc w:val="both"/>
        <w:rPr>
          <w:rFonts w:ascii="Times New Roman" w:hAnsi="Times New Roman"/>
          <w:b/>
          <w:sz w:val="28"/>
          <w:szCs w:val="28"/>
        </w:rPr>
      </w:pPr>
      <w:r>
        <w:rPr>
          <w:rFonts w:ascii="Times New Roman" w:hAnsi="Times New Roman"/>
          <w:b/>
          <w:sz w:val="28"/>
          <w:szCs w:val="28"/>
        </w:rPr>
        <w:t>3. Сроки и условия проведения конкурса</w:t>
      </w:r>
    </w:p>
    <w:p w:rsidR="00696DB3" w:rsidRDefault="00696DB3" w:rsidP="00696DB3">
      <w:pPr>
        <w:widowControl w:val="0"/>
        <w:autoSpaceDE w:val="0"/>
        <w:autoSpaceDN w:val="0"/>
        <w:adjustRightInd w:val="0"/>
        <w:spacing w:after="0" w:line="264" w:lineRule="auto"/>
        <w:ind w:firstLine="709"/>
        <w:jc w:val="both"/>
        <w:rPr>
          <w:rFonts w:ascii="Times New Roman" w:hAnsi="Times New Roman"/>
          <w:b/>
          <w:sz w:val="28"/>
          <w:szCs w:val="28"/>
        </w:rPr>
      </w:pP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3.1. Сроки проведения конкурса утверждаются распоряжением Председателя Совета (ассоциации). Главы муниципальных образований Оренбургской области уведомляются о сроках проведения конкурса по электронной почте.</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3.2. Материалы для участия в конкурсе направляются в Секретариат Совета (ассоциации) почтовым отправлением, нарочно или по электронной почте не позднее, чем за два месяца до проведения конкурса.</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3.2. В конкурсе могут участвовать муниципальные служащие, депутаты представительных органов, лица, замещающие выборные муниципальные должности и представители общественных (некоммерческих) организаций Оренбургской области независимо от возраста и образования. При участии в конкурсе муниципальных служащих (должностных лиц) органов местного </w:t>
      </w:r>
      <w:r>
        <w:rPr>
          <w:rFonts w:ascii="Times New Roman" w:hAnsi="Times New Roman"/>
          <w:sz w:val="28"/>
          <w:szCs w:val="28"/>
        </w:rPr>
        <w:lastRenderedPageBreak/>
        <w:t>самоуправления обязательно наличие стажа государственной (муниципальной) службы не менее 5 лет в должности по представляемой номинации.</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3.3. Дня номинаций «Лучший председатель Совета депутатов городского округа, муниципального района», «Лучший депутат представительного органа муниципального образования городского округа, муниципального района», «Лучший депутат представительного органа муниципального образования сельского поселения» обязательно наличие не менее одного срока осуществления депутатских полномочий.</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3.4. Дня номинации «Лучший глава муниципального образования сельского поселения» обязательное наличие позиции главы соответствующего муниципального района.</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3.5. От каждого муниципального образования могут направляться материалы установленного образца не более чем на 24 кандидатов (один кандидат по соответствующей номинации).</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3.6. Документы, представленные с нарушением требований настоящего Положения, Секретариат Совета (ассоциации) возвращает заявителю на доработку с указанием недостатков. Заявитель в течение 5 рабочих дней дорабатывает документы и повторно направляет их в Секретариат Совета (ассоциации).</w:t>
      </w:r>
    </w:p>
    <w:p w:rsidR="00696DB3" w:rsidRDefault="00696DB3" w:rsidP="00696DB3">
      <w:pPr>
        <w:tabs>
          <w:tab w:val="num" w:pos="900"/>
        </w:tabs>
        <w:spacing w:after="0" w:line="264" w:lineRule="auto"/>
        <w:ind w:firstLine="709"/>
        <w:jc w:val="both"/>
        <w:outlineLvl w:val="0"/>
        <w:rPr>
          <w:rFonts w:ascii="Times New Roman" w:hAnsi="Times New Roman"/>
          <w:sz w:val="28"/>
          <w:szCs w:val="28"/>
        </w:rPr>
      </w:pPr>
      <w:r>
        <w:rPr>
          <w:rFonts w:ascii="Times New Roman" w:hAnsi="Times New Roman"/>
          <w:sz w:val="28"/>
          <w:szCs w:val="28"/>
        </w:rPr>
        <w:t>3.7. Лица, ранее принимавшие участие в данном конкурсе (в период с 2002 года), но не победившие в нем, могут вновь принять участие в конкурсе без повторного предоставления материалов на основании письма-подтверждения об участии в конкурсе, подписанного главой муниципального образования или председателем представительного органа (по номинациям «Лучший депутат представительного органа муниципального образования городского округа, муниципального района», «Лучший депутат представительного органа муниципального образования сельского поселения»), которое направляется в Секретариат Совета (ассоциации) почтовым отправлением, нарочно или по электронной почте.</w:t>
      </w:r>
    </w:p>
    <w:p w:rsidR="00696DB3" w:rsidRDefault="00696DB3" w:rsidP="00696DB3">
      <w:pPr>
        <w:spacing w:after="0" w:line="264" w:lineRule="auto"/>
        <w:ind w:firstLine="540"/>
        <w:jc w:val="both"/>
        <w:rPr>
          <w:rFonts w:ascii="Times New Roman" w:hAnsi="Times New Roman"/>
          <w:b/>
          <w:sz w:val="28"/>
          <w:szCs w:val="28"/>
        </w:rPr>
      </w:pPr>
    </w:p>
    <w:p w:rsidR="00696DB3" w:rsidRDefault="00696DB3" w:rsidP="00696DB3">
      <w:pPr>
        <w:spacing w:after="0" w:line="264" w:lineRule="auto"/>
        <w:ind w:firstLine="540"/>
        <w:jc w:val="both"/>
        <w:rPr>
          <w:rFonts w:ascii="Times New Roman" w:hAnsi="Times New Roman"/>
          <w:b/>
          <w:sz w:val="28"/>
          <w:szCs w:val="28"/>
        </w:rPr>
      </w:pPr>
      <w:r>
        <w:rPr>
          <w:rFonts w:ascii="Times New Roman" w:hAnsi="Times New Roman"/>
          <w:b/>
          <w:sz w:val="28"/>
          <w:szCs w:val="28"/>
        </w:rPr>
        <w:t>4. Жюри конкурса</w:t>
      </w:r>
    </w:p>
    <w:p w:rsidR="00696DB3" w:rsidRDefault="00696DB3" w:rsidP="00696DB3">
      <w:pPr>
        <w:spacing w:after="0" w:line="264" w:lineRule="auto"/>
        <w:ind w:firstLine="540"/>
        <w:jc w:val="both"/>
        <w:rPr>
          <w:rFonts w:ascii="Times New Roman" w:hAnsi="Times New Roman"/>
          <w:b/>
          <w:sz w:val="28"/>
          <w:szCs w:val="28"/>
        </w:rPr>
      </w:pP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4.1. Проведение конкурса возлагается на жюри, персональный состав которого формируется Секретариатом Совета (ассоциации) и утверждается Председателем Совета (ассоциации).</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4.2. Председателем жюри является Председатель Совета (ассоциации), заместителем председателя жюри является Секретарь Совета (ассоциации), секретарем жюри – один из начальников управлений или отделов Секретариата Совета (ассоциации) по предложению Секретаря Совета (ассоциации).</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lastRenderedPageBreak/>
        <w:t>4.3. В состав жюри по должности входят полномочные представители от Губернатора и Законодательного Собрания Оренбургской области.</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xml:space="preserve">4.4. Секретарь жюри подготавливает материалы для членов жюри; оформляет протокол заседания жюри конкурса; оформляет проект решения Президиума Совета (ассоциации) по данному вопросу или распоряжение Председателя Совета (ассоциации) в соответствии с настоящим Положением; осуществляет подготовку наградных материалов, для вручения победителям конкурса; осуществляет подготовку проекта решения Общего собрания для награждения и направляет материалы для публикации в газете «Муниципальный вестник Оренбуржья». Оформляет обобщенные материалы по итогам конкурса и помещает их в соответствующую папку. В установленном порядке осуществляет ответственное хранение данных материалов в Секретариате Совета (ассоциации). </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4.5. В материалы для жюри входит:</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распоряжение Председателя Совета (ассоциации) «О проведении областного конкурса на звание «Лучший муниципальный служащий Оренбургской области»;</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положение «Об областном конкурсе на звание «Лучший муниципальный служащий Оренбургской области»;</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информация о кандидатах конкурса на звание «Лучший муниципальный служащий Оренбургской области».</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xml:space="preserve">4.6. В компетенцию жюри входит: </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xml:space="preserve">- анализ и оценка представленных материалов участников конкурса; </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выработка рекомендаций по итогам проведения конкурса;</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внесение предложения по победителям конкурса.</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4.7. Заседание жюри правомочно в случае присутствия на нем не менее половины членов жюри. Член жюри имеет один голос и не может передавать свои полномочия другому лицу. </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При невозможности личного участия члена жюри, он письменно уведомляет об этом Секретаря жюри не менее чем за 3 рабочих дня до даты заседания, а также вносит предложение по кандидатуре победителя конкурса в соответствующей номинации в письменной форме, направив его в адрес Секретариата Совета (ассоциации). Данное предложение выносится председателем или по его поручению заместителем председателя жюри на рассмотрение присутствующих на заседании членов жюри </w:t>
      </w:r>
    </w:p>
    <w:p w:rsidR="00696DB3" w:rsidRDefault="00696DB3" w:rsidP="00696DB3">
      <w:pPr>
        <w:pStyle w:val="a3"/>
        <w:spacing w:line="276" w:lineRule="auto"/>
        <w:ind w:firstLine="851"/>
        <w:rPr>
          <w:szCs w:val="28"/>
          <w:lang w:val="ru-RU" w:eastAsia="ru-RU"/>
        </w:rPr>
      </w:pPr>
      <w:r>
        <w:rPr>
          <w:szCs w:val="28"/>
          <w:lang w:val="ru-RU" w:eastAsia="ru-RU"/>
        </w:rPr>
        <w:t>В случае невнесения в установленный срок членом жюри предложения по кандидатуре победителя конкурса в соответствующей номинации в письменной форме, победителя в данной номинации определяет Президиум Совета (ассоциации) муниципальных образований Оренбургской области по предложению Председателя Совета (ассоциации).</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4.8. Рассмотрев предложения каждого члена жюри по соответствующей </w:t>
      </w:r>
      <w:r>
        <w:rPr>
          <w:rFonts w:ascii="Times New Roman" w:hAnsi="Times New Roman"/>
          <w:sz w:val="28"/>
          <w:szCs w:val="28"/>
        </w:rPr>
        <w:lastRenderedPageBreak/>
        <w:t xml:space="preserve">номинации, присутствующие на заседании члены жюри большинством голосов определяют победителя по каждой номинации. </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4.9. В случае если голоса членов жюри по одной или нескольким номинациям разделились между конкурсантами, данные кандидатуры по соответствующей номинации вносятся на заседание Президиума Совета (ассоциации), а при единогласном решении членов жюри о кандидатуре победителя конкурса по соответствующей номинации, победитель утверждается распоряжением Председателя Совета (ассоциации).</w:t>
      </w: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p>
    <w:p w:rsidR="00696DB3" w:rsidRDefault="00696DB3" w:rsidP="00696DB3">
      <w:pPr>
        <w:widowControl w:val="0"/>
        <w:autoSpaceDE w:val="0"/>
        <w:autoSpaceDN w:val="0"/>
        <w:adjustRightInd w:val="0"/>
        <w:spacing w:after="0" w:line="264" w:lineRule="auto"/>
        <w:ind w:firstLine="709"/>
        <w:jc w:val="both"/>
        <w:rPr>
          <w:rFonts w:ascii="Times New Roman" w:hAnsi="Times New Roman"/>
          <w:b/>
          <w:sz w:val="28"/>
          <w:szCs w:val="28"/>
        </w:rPr>
      </w:pPr>
      <w:r>
        <w:rPr>
          <w:rFonts w:ascii="Times New Roman" w:hAnsi="Times New Roman"/>
          <w:b/>
          <w:sz w:val="28"/>
          <w:szCs w:val="28"/>
        </w:rPr>
        <w:t>5. Определение победителей</w:t>
      </w:r>
    </w:p>
    <w:p w:rsidR="00696DB3" w:rsidRDefault="00696DB3" w:rsidP="00696DB3">
      <w:pPr>
        <w:widowControl w:val="0"/>
        <w:autoSpaceDE w:val="0"/>
        <w:autoSpaceDN w:val="0"/>
        <w:adjustRightInd w:val="0"/>
        <w:spacing w:after="0" w:line="264" w:lineRule="auto"/>
        <w:ind w:firstLine="709"/>
        <w:jc w:val="both"/>
        <w:rPr>
          <w:rFonts w:ascii="Times New Roman" w:hAnsi="Times New Roman"/>
          <w:b/>
          <w:sz w:val="28"/>
          <w:szCs w:val="28"/>
        </w:rPr>
      </w:pPr>
    </w:p>
    <w:p w:rsidR="00696DB3" w:rsidRDefault="00696DB3" w:rsidP="00696DB3">
      <w:pPr>
        <w:widowControl w:val="0"/>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5.1. Победителем конкурса по каждой номинации может быть признан только один кандидат. При этом если по какой-либо из номинаций подана только одна заявка, конкурс по данной номинации признается не состоявшимся. В исключительных случаях и при наличии достаточных оснований по решению Председателя Совета (ассоциации) может быть определен победитель и по одной заявке.</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5.2. Победителями конкурса от одного муниципального образования могут быть признаны не более двух номинантов. В исключительных случаях, по решению Председателя Совета (ассоциации), количество номинантов может быть увеличено, но не более чем в два раза.</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5.3. Победитель конкурса может участвовать в данном конкурсе дважды, но не ранее чем через три года после участия в данном конкурсе.</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5.4. Победители конкурса награждаются Дипломом,</w:t>
      </w:r>
      <w:r>
        <w:t xml:space="preserve"> </w:t>
      </w:r>
      <w:r>
        <w:rPr>
          <w:rFonts w:ascii="Times New Roman" w:hAnsi="Times New Roman"/>
          <w:sz w:val="28"/>
          <w:szCs w:val="28"/>
        </w:rPr>
        <w:t>почетным знаком и им вручается денежная премия.</w:t>
      </w:r>
    </w:p>
    <w:p w:rsidR="00696DB3" w:rsidRDefault="00696DB3" w:rsidP="00696DB3">
      <w:pPr>
        <w:spacing w:after="0" w:line="264" w:lineRule="auto"/>
        <w:ind w:firstLine="540"/>
        <w:jc w:val="both"/>
        <w:rPr>
          <w:rFonts w:ascii="Times New Roman" w:hAnsi="Times New Roman"/>
          <w:sz w:val="28"/>
          <w:szCs w:val="28"/>
        </w:rPr>
      </w:pPr>
    </w:p>
    <w:p w:rsidR="00696DB3" w:rsidRDefault="00696DB3" w:rsidP="00696DB3">
      <w:pPr>
        <w:spacing w:after="0" w:line="264" w:lineRule="auto"/>
        <w:ind w:firstLine="540"/>
        <w:jc w:val="both"/>
        <w:rPr>
          <w:rFonts w:ascii="Times New Roman" w:hAnsi="Times New Roman"/>
          <w:b/>
          <w:sz w:val="28"/>
          <w:szCs w:val="28"/>
        </w:rPr>
      </w:pPr>
      <w:r>
        <w:rPr>
          <w:rFonts w:ascii="Times New Roman" w:hAnsi="Times New Roman"/>
          <w:b/>
          <w:sz w:val="28"/>
          <w:szCs w:val="28"/>
        </w:rPr>
        <w:t>6. Организация проведения конкурса</w:t>
      </w:r>
    </w:p>
    <w:p w:rsidR="00696DB3" w:rsidRDefault="00696DB3" w:rsidP="00696DB3">
      <w:pPr>
        <w:spacing w:after="0" w:line="264" w:lineRule="auto"/>
        <w:ind w:firstLine="540"/>
        <w:jc w:val="both"/>
        <w:rPr>
          <w:rFonts w:ascii="Times New Roman" w:hAnsi="Times New Roman"/>
          <w:b/>
          <w:sz w:val="28"/>
          <w:szCs w:val="28"/>
        </w:rPr>
      </w:pP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xml:space="preserve">6.1. Организацию проведения и материально-техническое обеспечение конкурса осуществляет Секретариат Совета (ассоциации) муниципальных образований Оренбургской области. </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6.2. Секретариат Совета (ассоциации) муниципальных образований Оренбургской области:</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формирует персональный состав жюри конкурса и проводит ротацию членов жюри конкурса не реже одного раза в три года;</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подготавливает проект распоряжения Председателя Совета (ассоциации) по составу жюри конкурса;</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утверждает образцы заявок для участия в конкурсе;</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утверждает перечень материалов, прилагаемых к заявке;</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организует рассылку конкурсной документации;</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разъясняет Положения о конкурсе;</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lastRenderedPageBreak/>
        <w:t xml:space="preserve">- определяет формы, методы и дату проведения конкурса; </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принимает материалы кандидатов на участие в конкурсе и организует их экспертизу;</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возвращает материалы кандидатов на участие в конкурсе в случае их несоответствия настоящему Положению;</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xml:space="preserve">- в соответствии с настоящим Положением ведет документацию конкурса; </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xml:space="preserve">- информирует средства массовой информации о проведении конкурса; </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организует церемонию награждения;</w:t>
      </w:r>
    </w:p>
    <w:p w:rsidR="00696DB3" w:rsidRDefault="00696DB3" w:rsidP="00696DB3">
      <w:pPr>
        <w:spacing w:after="0" w:line="264" w:lineRule="auto"/>
        <w:ind w:firstLine="567"/>
        <w:jc w:val="both"/>
        <w:rPr>
          <w:rFonts w:ascii="Times New Roman" w:hAnsi="Times New Roman"/>
          <w:sz w:val="28"/>
          <w:szCs w:val="28"/>
        </w:rPr>
      </w:pPr>
      <w:r>
        <w:rPr>
          <w:rFonts w:ascii="Times New Roman" w:hAnsi="Times New Roman"/>
          <w:sz w:val="28"/>
          <w:szCs w:val="28"/>
        </w:rPr>
        <w:t>- осуществляет хранение документов по конкурсу в Секретариате Совета (ассоциации) в порядке, предусмотренном положение по делопроизводству.</w:t>
      </w:r>
    </w:p>
    <w:p w:rsidR="00696DB3" w:rsidRDefault="00696DB3" w:rsidP="00696DB3">
      <w:pPr>
        <w:spacing w:after="0" w:line="264" w:lineRule="auto"/>
        <w:ind w:firstLine="540"/>
        <w:jc w:val="both"/>
        <w:rPr>
          <w:rFonts w:ascii="Times New Roman" w:hAnsi="Times New Roman"/>
          <w:b/>
          <w:sz w:val="28"/>
          <w:szCs w:val="28"/>
        </w:rPr>
      </w:pPr>
      <w:r>
        <w:rPr>
          <w:rFonts w:ascii="Times New Roman" w:hAnsi="Times New Roman"/>
          <w:b/>
          <w:sz w:val="28"/>
          <w:szCs w:val="28"/>
        </w:rPr>
        <w:t>7. Награждение победителей конкурса</w:t>
      </w:r>
    </w:p>
    <w:p w:rsidR="00696DB3" w:rsidRDefault="00696DB3" w:rsidP="00696DB3">
      <w:pPr>
        <w:spacing w:after="0" w:line="264" w:lineRule="auto"/>
        <w:ind w:firstLine="540"/>
        <w:jc w:val="both"/>
        <w:rPr>
          <w:rFonts w:ascii="Times New Roman" w:hAnsi="Times New Roman"/>
          <w:b/>
          <w:sz w:val="28"/>
          <w:szCs w:val="28"/>
        </w:rPr>
      </w:pP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7.1. Награждение победителей конкурса в соответствии с настоящим Положением производится на Общем Собрании Совета (ассоциации) на основании решения Президиума Совета (ассоциации) или распоряжения Председателя Совета (ассоциации) по представлению жюри конкурса.</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7.2. Образец диплома и почетного знака утверждается Секретариатом Совета (ассоциации).</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 xml:space="preserve">7.3. Размер денежной премии победителям конкурса утверждается распоряжением Председателя Совета (ассоциации). </w:t>
      </w:r>
    </w:p>
    <w:p w:rsidR="00696DB3" w:rsidRDefault="00696DB3" w:rsidP="00696DB3">
      <w:pPr>
        <w:spacing w:after="0" w:line="264" w:lineRule="auto"/>
        <w:ind w:firstLine="540"/>
        <w:jc w:val="both"/>
        <w:rPr>
          <w:rFonts w:ascii="Times New Roman" w:hAnsi="Times New Roman"/>
          <w:sz w:val="28"/>
          <w:szCs w:val="28"/>
        </w:rPr>
      </w:pPr>
      <w:r>
        <w:rPr>
          <w:rFonts w:ascii="Times New Roman" w:hAnsi="Times New Roman"/>
          <w:sz w:val="28"/>
          <w:szCs w:val="28"/>
        </w:rPr>
        <w:t>7.4. Финансирование для организации награждения победителей осуществляется Секретариатом Совета (ассоциации) за счет средств Совета (ассоциации), предусмотренных сметой расходов на соответствующий финансовый год.</w:t>
      </w:r>
    </w:p>
    <w:p w:rsidR="00696DB3" w:rsidRDefault="00696DB3" w:rsidP="00696DB3">
      <w:pPr>
        <w:spacing w:after="0" w:line="264" w:lineRule="auto"/>
        <w:ind w:firstLine="540"/>
        <w:jc w:val="both"/>
        <w:rPr>
          <w:rFonts w:ascii="Times New Roman" w:hAnsi="Times New Roman"/>
          <w:b/>
          <w:sz w:val="28"/>
          <w:szCs w:val="28"/>
        </w:rPr>
      </w:pPr>
      <w:r>
        <w:rPr>
          <w:rFonts w:ascii="Times New Roman" w:hAnsi="Times New Roman"/>
          <w:sz w:val="28"/>
          <w:szCs w:val="28"/>
        </w:rPr>
        <w:t>7.5. Сведения о победителях конкурса с краткой биографической справкой и фотографией размещаются</w:t>
      </w:r>
      <w:r>
        <w:rPr>
          <w:rFonts w:ascii="Times New Roman" w:hAnsi="Times New Roman"/>
          <w:b/>
          <w:sz w:val="28"/>
          <w:szCs w:val="28"/>
        </w:rPr>
        <w:t xml:space="preserve"> </w:t>
      </w:r>
      <w:r>
        <w:rPr>
          <w:rFonts w:ascii="Times New Roman" w:hAnsi="Times New Roman"/>
          <w:sz w:val="28"/>
          <w:szCs w:val="28"/>
        </w:rPr>
        <w:t>в газете «Муниципальный вестник Оренбуржья».</w:t>
      </w:r>
      <w:r>
        <w:rPr>
          <w:rFonts w:ascii="Times New Roman" w:hAnsi="Times New Roman"/>
          <w:b/>
          <w:sz w:val="28"/>
          <w:szCs w:val="28"/>
        </w:rPr>
        <w:t xml:space="preserve"> </w:t>
      </w:r>
    </w:p>
    <w:p w:rsidR="00CB4671" w:rsidRDefault="00CB4671">
      <w:bookmarkStart w:id="0" w:name="_GoBack"/>
      <w:bookmarkEnd w:id="0"/>
    </w:p>
    <w:sectPr w:rsidR="00CB4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B3"/>
    <w:rsid w:val="00696DB3"/>
    <w:rsid w:val="00CB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96DB3"/>
    <w:pPr>
      <w:overflowPunct w:val="0"/>
      <w:autoSpaceDE w:val="0"/>
      <w:autoSpaceDN w:val="0"/>
      <w:adjustRightInd w:val="0"/>
      <w:spacing w:after="0" w:line="360" w:lineRule="auto"/>
      <w:ind w:firstLine="567"/>
      <w:jc w:val="both"/>
    </w:pPr>
    <w:rPr>
      <w:rFonts w:ascii="Times New Roman" w:hAnsi="Times New Roman"/>
      <w:sz w:val="28"/>
      <w:szCs w:val="20"/>
      <w:lang w:val="x-none" w:eastAsia="x-none"/>
    </w:rPr>
  </w:style>
  <w:style w:type="character" w:customStyle="1" w:styleId="a4">
    <w:name w:val="Основной текст с отступом Знак"/>
    <w:basedOn w:val="a0"/>
    <w:link w:val="a3"/>
    <w:semiHidden/>
    <w:rsid w:val="00696DB3"/>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96DB3"/>
    <w:pPr>
      <w:overflowPunct w:val="0"/>
      <w:autoSpaceDE w:val="0"/>
      <w:autoSpaceDN w:val="0"/>
      <w:adjustRightInd w:val="0"/>
      <w:spacing w:after="0" w:line="360" w:lineRule="auto"/>
      <w:ind w:firstLine="567"/>
      <w:jc w:val="both"/>
    </w:pPr>
    <w:rPr>
      <w:rFonts w:ascii="Times New Roman" w:hAnsi="Times New Roman"/>
      <w:sz w:val="28"/>
      <w:szCs w:val="20"/>
      <w:lang w:val="x-none" w:eastAsia="x-none"/>
    </w:rPr>
  </w:style>
  <w:style w:type="character" w:customStyle="1" w:styleId="a4">
    <w:name w:val="Основной текст с отступом Знак"/>
    <w:basedOn w:val="a0"/>
    <w:link w:val="a3"/>
    <w:semiHidden/>
    <w:rsid w:val="00696DB3"/>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0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1812</Words>
  <Characters>10330</Characters>
  <Application>Microsoft Office Word</Application>
  <DocSecurity>0</DocSecurity>
  <Lines>86</Lines>
  <Paragraphs>24</Paragraphs>
  <ScaleCrop>false</ScaleCrop>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2021-09-09T06:54:00Z</dcterms:created>
  <dcterms:modified xsi:type="dcterms:W3CDTF">2021-09-09T06:56:00Z</dcterms:modified>
</cp:coreProperties>
</file>